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D9B" w:rsidRDefault="005D2D9B" w:rsidP="00F63207">
      <w:pPr>
        <w:jc w:val="both"/>
        <w:rPr>
          <w:sz w:val="24"/>
          <w:szCs w:val="24"/>
        </w:rPr>
      </w:pPr>
    </w:p>
    <w:p w:rsidR="0009399B" w:rsidRPr="00F63207" w:rsidRDefault="0009399B" w:rsidP="00F63207">
      <w:pPr>
        <w:jc w:val="both"/>
        <w:rPr>
          <w:sz w:val="24"/>
          <w:szCs w:val="24"/>
        </w:rPr>
      </w:pPr>
    </w:p>
    <w:p w:rsidR="005D2D9B" w:rsidRPr="00F63207" w:rsidRDefault="005D2D9B" w:rsidP="00F63207">
      <w:pPr>
        <w:jc w:val="center"/>
        <w:rPr>
          <w:b/>
          <w:sz w:val="24"/>
          <w:szCs w:val="24"/>
        </w:rPr>
      </w:pPr>
      <w:r w:rsidRPr="00F63207">
        <w:rPr>
          <w:b/>
          <w:sz w:val="24"/>
          <w:szCs w:val="24"/>
        </w:rPr>
        <w:t>ANALISIS Y DIAGNOSTICO DE LAS CONDICIONES DE POBREZA Y POBREZA EXTREMA EN EL MUNICIPIO</w:t>
      </w:r>
    </w:p>
    <w:p w:rsidR="005D2D9B" w:rsidRPr="00F63207" w:rsidRDefault="005D2D9B" w:rsidP="00F63207">
      <w:pPr>
        <w:jc w:val="both"/>
        <w:rPr>
          <w:sz w:val="24"/>
          <w:szCs w:val="24"/>
        </w:rPr>
      </w:pPr>
    </w:p>
    <w:p w:rsidR="00097B47" w:rsidRPr="00F63207" w:rsidRDefault="0047769D" w:rsidP="00F63207">
      <w:pPr>
        <w:jc w:val="both"/>
        <w:rPr>
          <w:sz w:val="24"/>
          <w:szCs w:val="24"/>
        </w:rPr>
      </w:pPr>
      <w:r w:rsidRPr="00F63207">
        <w:rPr>
          <w:sz w:val="24"/>
          <w:szCs w:val="24"/>
        </w:rPr>
        <w:t>Según la Ficha Reporte de Identificación de Necesidades para la Población en Pobreza Extrema, algunos de los principales déficits de logros Unidos por alcanzar de la población acompañada por la Estrategia en el Municipio de Tibaná, se identifican entre otros:</w:t>
      </w:r>
    </w:p>
    <w:p w:rsidR="0047769D" w:rsidRPr="00F63207" w:rsidRDefault="0047769D" w:rsidP="00F63207">
      <w:pPr>
        <w:pStyle w:val="Prrafodelista"/>
        <w:numPr>
          <w:ilvl w:val="0"/>
          <w:numId w:val="1"/>
        </w:numPr>
        <w:jc w:val="both"/>
        <w:rPr>
          <w:sz w:val="24"/>
          <w:szCs w:val="24"/>
        </w:rPr>
      </w:pPr>
      <w:r w:rsidRPr="00F63207">
        <w:rPr>
          <w:sz w:val="24"/>
          <w:szCs w:val="24"/>
        </w:rPr>
        <w:t xml:space="preserve">El  76,4 de los hogares no cumple con el logro 11 de ingreso per cápita superior al </w:t>
      </w:r>
      <w:proofErr w:type="spellStart"/>
      <w:r w:rsidRPr="00F63207">
        <w:rPr>
          <w:sz w:val="24"/>
          <w:szCs w:val="24"/>
        </w:rPr>
        <w:t>umblar</w:t>
      </w:r>
      <w:proofErr w:type="spellEnd"/>
      <w:r w:rsidRPr="00F63207">
        <w:rPr>
          <w:sz w:val="24"/>
          <w:szCs w:val="24"/>
        </w:rPr>
        <w:t xml:space="preserve"> de pobreza extrema, correspondiente a la dimensión de ingresos y trabajo.  </w:t>
      </w:r>
    </w:p>
    <w:p w:rsidR="0047769D" w:rsidRPr="00F63207" w:rsidRDefault="0047769D" w:rsidP="00F63207">
      <w:pPr>
        <w:pStyle w:val="Prrafodelista"/>
        <w:numPr>
          <w:ilvl w:val="0"/>
          <w:numId w:val="1"/>
        </w:numPr>
        <w:jc w:val="both"/>
        <w:rPr>
          <w:sz w:val="24"/>
          <w:szCs w:val="24"/>
        </w:rPr>
      </w:pPr>
      <w:r w:rsidRPr="00F63207">
        <w:rPr>
          <w:sz w:val="24"/>
          <w:szCs w:val="24"/>
        </w:rPr>
        <w:t xml:space="preserve">En la dimensión de educación y capacitación, se observa que un 99,2 % de los hogares no cumplen con el logro 18 de estudios post secundarios. </w:t>
      </w:r>
    </w:p>
    <w:p w:rsidR="0047769D" w:rsidRPr="00F63207" w:rsidRDefault="0047769D" w:rsidP="00F63207">
      <w:pPr>
        <w:pStyle w:val="Prrafodelista"/>
        <w:numPr>
          <w:ilvl w:val="0"/>
          <w:numId w:val="1"/>
        </w:numPr>
        <w:jc w:val="both"/>
        <w:rPr>
          <w:sz w:val="24"/>
          <w:szCs w:val="24"/>
        </w:rPr>
      </w:pPr>
      <w:r w:rsidRPr="00F63207">
        <w:rPr>
          <w:sz w:val="24"/>
          <w:szCs w:val="24"/>
        </w:rPr>
        <w:t xml:space="preserve">Con un 80,9 % y 89,9 % de hogares se demuestra que no se cumple con el logro 19 </w:t>
      </w:r>
      <w:r w:rsidR="009E126F" w:rsidRPr="00F63207">
        <w:rPr>
          <w:sz w:val="24"/>
          <w:szCs w:val="24"/>
        </w:rPr>
        <w:t xml:space="preserve"> usos de herramientas digit</w:t>
      </w:r>
      <w:bookmarkStart w:id="0" w:name="_GoBack"/>
      <w:bookmarkEnd w:id="0"/>
      <w:r w:rsidR="009E126F" w:rsidRPr="00F63207">
        <w:rPr>
          <w:sz w:val="24"/>
          <w:szCs w:val="24"/>
        </w:rPr>
        <w:t xml:space="preserve">ales </w:t>
      </w:r>
      <w:r w:rsidRPr="00F63207">
        <w:rPr>
          <w:sz w:val="24"/>
          <w:szCs w:val="24"/>
        </w:rPr>
        <w:t xml:space="preserve">y 20 </w:t>
      </w:r>
      <w:r w:rsidR="009E126F" w:rsidRPr="00F63207">
        <w:rPr>
          <w:sz w:val="24"/>
          <w:szCs w:val="24"/>
        </w:rPr>
        <w:t>educación financiera en ahorro, crédito o seguros respectivamente</w:t>
      </w:r>
      <w:r w:rsidRPr="00F63207">
        <w:rPr>
          <w:sz w:val="24"/>
          <w:szCs w:val="24"/>
        </w:rPr>
        <w:t xml:space="preserve"> de la dimensión </w:t>
      </w:r>
      <w:r w:rsidR="009E126F" w:rsidRPr="00F63207">
        <w:rPr>
          <w:sz w:val="24"/>
          <w:szCs w:val="24"/>
        </w:rPr>
        <w:t xml:space="preserve">de educación y capacitación. </w:t>
      </w:r>
    </w:p>
    <w:p w:rsidR="009E126F" w:rsidRPr="00F63207" w:rsidRDefault="009E126F" w:rsidP="00F63207">
      <w:pPr>
        <w:pStyle w:val="Prrafodelista"/>
        <w:numPr>
          <w:ilvl w:val="0"/>
          <w:numId w:val="1"/>
        </w:numPr>
        <w:jc w:val="both"/>
        <w:rPr>
          <w:sz w:val="24"/>
          <w:szCs w:val="24"/>
        </w:rPr>
      </w:pPr>
      <w:r w:rsidRPr="00F63207">
        <w:rPr>
          <w:sz w:val="24"/>
          <w:szCs w:val="24"/>
        </w:rPr>
        <w:t xml:space="preserve">En la dimensión de habitabilidad con un porcentaje de 58% se observa que los hogares no cumplen con el logro 21 pisos adecuados. </w:t>
      </w:r>
    </w:p>
    <w:p w:rsidR="009E126F" w:rsidRPr="00F63207" w:rsidRDefault="009E126F" w:rsidP="00F63207">
      <w:pPr>
        <w:jc w:val="both"/>
        <w:rPr>
          <w:sz w:val="24"/>
          <w:szCs w:val="24"/>
        </w:rPr>
      </w:pPr>
      <w:r w:rsidRPr="00F63207">
        <w:rPr>
          <w:sz w:val="24"/>
          <w:szCs w:val="24"/>
        </w:rPr>
        <w:t>Analizando la Ficha Reporte Privaciones de Índice de Pobreza Multidimensional del departamento, algunas de las principales privaciones que se identifican:</w:t>
      </w:r>
    </w:p>
    <w:p w:rsidR="009E126F" w:rsidRPr="00F63207" w:rsidRDefault="009E126F" w:rsidP="00F63207">
      <w:pPr>
        <w:pStyle w:val="Prrafodelista"/>
        <w:numPr>
          <w:ilvl w:val="0"/>
          <w:numId w:val="2"/>
        </w:numPr>
        <w:jc w:val="both"/>
        <w:rPr>
          <w:sz w:val="24"/>
          <w:szCs w:val="24"/>
        </w:rPr>
      </w:pPr>
      <w:r w:rsidRPr="00F63207">
        <w:rPr>
          <w:sz w:val="24"/>
          <w:szCs w:val="24"/>
        </w:rPr>
        <w:t xml:space="preserve">La dimensión de condiciones educativas del hogar corresponde a un 88,42 5 de incidencia de hogares con privación. </w:t>
      </w:r>
    </w:p>
    <w:p w:rsidR="006F0E7A" w:rsidRPr="00F63207" w:rsidRDefault="009E126F" w:rsidP="00F63207">
      <w:pPr>
        <w:pStyle w:val="Prrafodelista"/>
        <w:numPr>
          <w:ilvl w:val="0"/>
          <w:numId w:val="2"/>
        </w:numPr>
        <w:jc w:val="both"/>
        <w:rPr>
          <w:sz w:val="24"/>
          <w:szCs w:val="24"/>
        </w:rPr>
      </w:pPr>
      <w:r w:rsidRPr="00F63207">
        <w:rPr>
          <w:sz w:val="24"/>
          <w:szCs w:val="24"/>
        </w:rPr>
        <w:t xml:space="preserve">Con un 92.07 % </w:t>
      </w:r>
      <w:r w:rsidR="006F0E7A" w:rsidRPr="00F63207">
        <w:rPr>
          <w:sz w:val="24"/>
          <w:szCs w:val="24"/>
        </w:rPr>
        <w:t xml:space="preserve">se observa </w:t>
      </w:r>
      <w:r w:rsidR="004108B3" w:rsidRPr="00F63207">
        <w:rPr>
          <w:sz w:val="24"/>
          <w:szCs w:val="24"/>
        </w:rPr>
        <w:t>una</w:t>
      </w:r>
      <w:r w:rsidR="006F0E7A" w:rsidRPr="00F63207">
        <w:rPr>
          <w:sz w:val="24"/>
          <w:szCs w:val="24"/>
        </w:rPr>
        <w:t xml:space="preserve"> privación de hogares en el trabajo informal.</w:t>
      </w:r>
    </w:p>
    <w:p w:rsidR="006F0E7A" w:rsidRPr="00F63207" w:rsidRDefault="006F0E7A" w:rsidP="00F63207">
      <w:pPr>
        <w:jc w:val="both"/>
        <w:rPr>
          <w:sz w:val="24"/>
          <w:szCs w:val="24"/>
        </w:rPr>
      </w:pPr>
      <w:r w:rsidRPr="00F63207">
        <w:rPr>
          <w:sz w:val="24"/>
          <w:szCs w:val="24"/>
        </w:rPr>
        <w:t>Según los porcentajes observados y el análisis de algunas de las privaciones principales de los h</w:t>
      </w:r>
      <w:r w:rsidR="004108B3" w:rsidRPr="00F63207">
        <w:rPr>
          <w:sz w:val="24"/>
          <w:szCs w:val="24"/>
        </w:rPr>
        <w:t>ogares se puede concluir que unas</w:t>
      </w:r>
      <w:r w:rsidRPr="00F63207">
        <w:rPr>
          <w:sz w:val="24"/>
          <w:szCs w:val="24"/>
        </w:rPr>
        <w:t xml:space="preserve"> de </w:t>
      </w:r>
      <w:r w:rsidR="004108B3" w:rsidRPr="00F63207">
        <w:rPr>
          <w:sz w:val="24"/>
          <w:szCs w:val="24"/>
        </w:rPr>
        <w:t xml:space="preserve">las necesidades que más </w:t>
      </w:r>
      <w:r w:rsidRPr="00F63207">
        <w:rPr>
          <w:sz w:val="24"/>
          <w:szCs w:val="24"/>
        </w:rPr>
        <w:t xml:space="preserve"> afecta  a</w:t>
      </w:r>
      <w:r w:rsidR="004108B3" w:rsidRPr="00F63207">
        <w:rPr>
          <w:sz w:val="24"/>
          <w:szCs w:val="24"/>
        </w:rPr>
        <w:t xml:space="preserve"> la</w:t>
      </w:r>
      <w:r w:rsidRPr="00F63207">
        <w:rPr>
          <w:sz w:val="24"/>
          <w:szCs w:val="24"/>
        </w:rPr>
        <w:t xml:space="preserve">  comunidad </w:t>
      </w:r>
      <w:r w:rsidR="004108B3" w:rsidRPr="00F63207">
        <w:rPr>
          <w:sz w:val="24"/>
          <w:szCs w:val="24"/>
        </w:rPr>
        <w:t>Tibanence</w:t>
      </w:r>
      <w:r w:rsidRPr="00F63207">
        <w:rPr>
          <w:sz w:val="24"/>
          <w:szCs w:val="24"/>
        </w:rPr>
        <w:t xml:space="preserve"> es la educación, vivienda y trabajo, por lo tanto  los proyectos que </w:t>
      </w:r>
      <w:r w:rsidR="004108B3" w:rsidRPr="00F63207">
        <w:rPr>
          <w:sz w:val="24"/>
          <w:szCs w:val="24"/>
        </w:rPr>
        <w:t>más</w:t>
      </w:r>
      <w:r w:rsidRPr="00F63207">
        <w:rPr>
          <w:sz w:val="24"/>
          <w:szCs w:val="24"/>
        </w:rPr>
        <w:t xml:space="preserve"> requiere la población en situación </w:t>
      </w:r>
      <w:r w:rsidR="004108B3" w:rsidRPr="00F63207">
        <w:rPr>
          <w:sz w:val="24"/>
          <w:szCs w:val="24"/>
        </w:rPr>
        <w:t xml:space="preserve">de pobreza son todos aquellos que brinden alternativas de acceder a la educación postsecundaria y así permiten tener algún proceso de empleo, y proyectos de vivienda que mejoren el habitad de la población. </w:t>
      </w:r>
    </w:p>
    <w:p w:rsidR="00F63207" w:rsidRPr="00F63207" w:rsidRDefault="00F63207" w:rsidP="00F63207">
      <w:pPr>
        <w:jc w:val="both"/>
        <w:rPr>
          <w:sz w:val="24"/>
          <w:szCs w:val="24"/>
        </w:rPr>
      </w:pPr>
    </w:p>
    <w:p w:rsidR="00F63207" w:rsidRPr="00F63207" w:rsidRDefault="00F63207" w:rsidP="00F63207">
      <w:pPr>
        <w:jc w:val="both"/>
        <w:rPr>
          <w:sz w:val="24"/>
          <w:szCs w:val="24"/>
        </w:rPr>
      </w:pPr>
    </w:p>
    <w:p w:rsidR="00F63207" w:rsidRPr="00F63207" w:rsidRDefault="00F63207" w:rsidP="00F63207">
      <w:pPr>
        <w:jc w:val="both"/>
        <w:rPr>
          <w:sz w:val="24"/>
          <w:szCs w:val="24"/>
        </w:rPr>
      </w:pPr>
    </w:p>
    <w:p w:rsidR="00F63207" w:rsidRPr="00F63207" w:rsidRDefault="00F63207" w:rsidP="00F63207">
      <w:pPr>
        <w:jc w:val="both"/>
        <w:rPr>
          <w:sz w:val="24"/>
          <w:szCs w:val="24"/>
        </w:rPr>
      </w:pPr>
    </w:p>
    <w:p w:rsidR="00F63207" w:rsidRPr="00F63207" w:rsidRDefault="00F63207" w:rsidP="00F63207">
      <w:pPr>
        <w:jc w:val="both"/>
        <w:rPr>
          <w:sz w:val="24"/>
          <w:szCs w:val="24"/>
        </w:rPr>
      </w:pPr>
    </w:p>
    <w:p w:rsidR="00F63207" w:rsidRDefault="00F63207" w:rsidP="00F63207">
      <w:pPr>
        <w:ind w:left="735"/>
        <w:jc w:val="both"/>
        <w:rPr>
          <w:rFonts w:cs="Arial"/>
          <w:b/>
          <w:sz w:val="24"/>
          <w:szCs w:val="24"/>
          <w:lang w:val="es-ES_tradnl"/>
        </w:rPr>
      </w:pPr>
    </w:p>
    <w:p w:rsidR="00F63207" w:rsidRDefault="00F63207" w:rsidP="00F63207">
      <w:pPr>
        <w:ind w:left="735"/>
        <w:jc w:val="both"/>
        <w:rPr>
          <w:rFonts w:cs="Arial"/>
          <w:b/>
          <w:sz w:val="24"/>
          <w:szCs w:val="24"/>
          <w:lang w:val="es-ES_tradnl"/>
        </w:rPr>
      </w:pPr>
    </w:p>
    <w:p w:rsidR="00F63207" w:rsidRPr="00F63207" w:rsidRDefault="00F63207" w:rsidP="00F63207">
      <w:pPr>
        <w:ind w:left="735"/>
        <w:jc w:val="both"/>
        <w:rPr>
          <w:rFonts w:cs="Arial"/>
          <w:b/>
          <w:sz w:val="24"/>
          <w:szCs w:val="24"/>
          <w:lang w:val="es-ES_tradnl"/>
        </w:rPr>
      </w:pPr>
    </w:p>
    <w:sectPr w:rsidR="00F63207" w:rsidRPr="00F6320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5A3F"/>
    <w:multiLevelType w:val="hybridMultilevel"/>
    <w:tmpl w:val="4FDE56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3181B5C"/>
    <w:multiLevelType w:val="hybridMultilevel"/>
    <w:tmpl w:val="B6742310"/>
    <w:lvl w:ilvl="0" w:tplc="240A001B">
      <w:start w:val="1"/>
      <w:numFmt w:val="lowerRoman"/>
      <w:lvlText w:val="%1."/>
      <w:lvlJc w:val="right"/>
      <w:pPr>
        <w:ind w:left="1980" w:hanging="360"/>
      </w:pPr>
    </w:lvl>
    <w:lvl w:ilvl="1" w:tplc="240A0019" w:tentative="1">
      <w:start w:val="1"/>
      <w:numFmt w:val="lowerLetter"/>
      <w:lvlText w:val="%2."/>
      <w:lvlJc w:val="left"/>
      <w:pPr>
        <w:ind w:left="2700" w:hanging="360"/>
      </w:pPr>
    </w:lvl>
    <w:lvl w:ilvl="2" w:tplc="240A001B" w:tentative="1">
      <w:start w:val="1"/>
      <w:numFmt w:val="lowerRoman"/>
      <w:lvlText w:val="%3."/>
      <w:lvlJc w:val="right"/>
      <w:pPr>
        <w:ind w:left="3420" w:hanging="180"/>
      </w:pPr>
    </w:lvl>
    <w:lvl w:ilvl="3" w:tplc="240A000F" w:tentative="1">
      <w:start w:val="1"/>
      <w:numFmt w:val="decimal"/>
      <w:lvlText w:val="%4."/>
      <w:lvlJc w:val="left"/>
      <w:pPr>
        <w:ind w:left="4140" w:hanging="360"/>
      </w:pPr>
    </w:lvl>
    <w:lvl w:ilvl="4" w:tplc="240A0019" w:tentative="1">
      <w:start w:val="1"/>
      <w:numFmt w:val="lowerLetter"/>
      <w:lvlText w:val="%5."/>
      <w:lvlJc w:val="left"/>
      <w:pPr>
        <w:ind w:left="4860" w:hanging="360"/>
      </w:pPr>
    </w:lvl>
    <w:lvl w:ilvl="5" w:tplc="240A001B" w:tentative="1">
      <w:start w:val="1"/>
      <w:numFmt w:val="lowerRoman"/>
      <w:lvlText w:val="%6."/>
      <w:lvlJc w:val="right"/>
      <w:pPr>
        <w:ind w:left="5580" w:hanging="180"/>
      </w:pPr>
    </w:lvl>
    <w:lvl w:ilvl="6" w:tplc="240A000F" w:tentative="1">
      <w:start w:val="1"/>
      <w:numFmt w:val="decimal"/>
      <w:lvlText w:val="%7."/>
      <w:lvlJc w:val="left"/>
      <w:pPr>
        <w:ind w:left="6300" w:hanging="360"/>
      </w:pPr>
    </w:lvl>
    <w:lvl w:ilvl="7" w:tplc="240A0019" w:tentative="1">
      <w:start w:val="1"/>
      <w:numFmt w:val="lowerLetter"/>
      <w:lvlText w:val="%8."/>
      <w:lvlJc w:val="left"/>
      <w:pPr>
        <w:ind w:left="7020" w:hanging="360"/>
      </w:pPr>
    </w:lvl>
    <w:lvl w:ilvl="8" w:tplc="240A001B" w:tentative="1">
      <w:start w:val="1"/>
      <w:numFmt w:val="lowerRoman"/>
      <w:lvlText w:val="%9."/>
      <w:lvlJc w:val="right"/>
      <w:pPr>
        <w:ind w:left="7740" w:hanging="180"/>
      </w:pPr>
    </w:lvl>
  </w:abstractNum>
  <w:abstractNum w:abstractNumId="2">
    <w:nsid w:val="2EAF258E"/>
    <w:multiLevelType w:val="hybridMultilevel"/>
    <w:tmpl w:val="33885E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9C72BD6"/>
    <w:multiLevelType w:val="hybridMultilevel"/>
    <w:tmpl w:val="D74E563C"/>
    <w:lvl w:ilvl="0" w:tplc="EF70599C">
      <w:start w:val="1"/>
      <w:numFmt w:val="decimal"/>
      <w:lvlText w:val="%1."/>
      <w:lvlJc w:val="left"/>
      <w:pPr>
        <w:ind w:left="800" w:hanging="375"/>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502"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5742423C"/>
    <w:multiLevelType w:val="hybridMultilevel"/>
    <w:tmpl w:val="9E5CA24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6C610864"/>
    <w:multiLevelType w:val="hybridMultilevel"/>
    <w:tmpl w:val="CA8626C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6C652AFA"/>
    <w:multiLevelType w:val="hybridMultilevel"/>
    <w:tmpl w:val="60CAC18E"/>
    <w:lvl w:ilvl="0" w:tplc="240A0001">
      <w:start w:val="1"/>
      <w:numFmt w:val="bullet"/>
      <w:lvlText w:val=""/>
      <w:lvlJc w:val="left"/>
      <w:pPr>
        <w:ind w:left="1455" w:hanging="360"/>
      </w:pPr>
      <w:rPr>
        <w:rFonts w:ascii="Symbol" w:hAnsi="Symbol" w:hint="default"/>
      </w:rPr>
    </w:lvl>
    <w:lvl w:ilvl="1" w:tplc="240A0003" w:tentative="1">
      <w:start w:val="1"/>
      <w:numFmt w:val="bullet"/>
      <w:lvlText w:val="o"/>
      <w:lvlJc w:val="left"/>
      <w:pPr>
        <w:ind w:left="2175" w:hanging="360"/>
      </w:pPr>
      <w:rPr>
        <w:rFonts w:ascii="Courier New" w:hAnsi="Courier New" w:cs="Courier New" w:hint="default"/>
      </w:rPr>
    </w:lvl>
    <w:lvl w:ilvl="2" w:tplc="240A0005" w:tentative="1">
      <w:start w:val="1"/>
      <w:numFmt w:val="bullet"/>
      <w:lvlText w:val=""/>
      <w:lvlJc w:val="left"/>
      <w:pPr>
        <w:ind w:left="2895" w:hanging="360"/>
      </w:pPr>
      <w:rPr>
        <w:rFonts w:ascii="Wingdings" w:hAnsi="Wingdings" w:hint="default"/>
      </w:rPr>
    </w:lvl>
    <w:lvl w:ilvl="3" w:tplc="240A0001" w:tentative="1">
      <w:start w:val="1"/>
      <w:numFmt w:val="bullet"/>
      <w:lvlText w:val=""/>
      <w:lvlJc w:val="left"/>
      <w:pPr>
        <w:ind w:left="3615" w:hanging="360"/>
      </w:pPr>
      <w:rPr>
        <w:rFonts w:ascii="Symbol" w:hAnsi="Symbol" w:hint="default"/>
      </w:rPr>
    </w:lvl>
    <w:lvl w:ilvl="4" w:tplc="240A0003" w:tentative="1">
      <w:start w:val="1"/>
      <w:numFmt w:val="bullet"/>
      <w:lvlText w:val="o"/>
      <w:lvlJc w:val="left"/>
      <w:pPr>
        <w:ind w:left="4335" w:hanging="360"/>
      </w:pPr>
      <w:rPr>
        <w:rFonts w:ascii="Courier New" w:hAnsi="Courier New" w:cs="Courier New" w:hint="default"/>
      </w:rPr>
    </w:lvl>
    <w:lvl w:ilvl="5" w:tplc="240A0005" w:tentative="1">
      <w:start w:val="1"/>
      <w:numFmt w:val="bullet"/>
      <w:lvlText w:val=""/>
      <w:lvlJc w:val="left"/>
      <w:pPr>
        <w:ind w:left="5055" w:hanging="360"/>
      </w:pPr>
      <w:rPr>
        <w:rFonts w:ascii="Wingdings" w:hAnsi="Wingdings" w:hint="default"/>
      </w:rPr>
    </w:lvl>
    <w:lvl w:ilvl="6" w:tplc="240A0001" w:tentative="1">
      <w:start w:val="1"/>
      <w:numFmt w:val="bullet"/>
      <w:lvlText w:val=""/>
      <w:lvlJc w:val="left"/>
      <w:pPr>
        <w:ind w:left="5775" w:hanging="360"/>
      </w:pPr>
      <w:rPr>
        <w:rFonts w:ascii="Symbol" w:hAnsi="Symbol" w:hint="default"/>
      </w:rPr>
    </w:lvl>
    <w:lvl w:ilvl="7" w:tplc="240A0003" w:tentative="1">
      <w:start w:val="1"/>
      <w:numFmt w:val="bullet"/>
      <w:lvlText w:val="o"/>
      <w:lvlJc w:val="left"/>
      <w:pPr>
        <w:ind w:left="6495" w:hanging="360"/>
      </w:pPr>
      <w:rPr>
        <w:rFonts w:ascii="Courier New" w:hAnsi="Courier New" w:cs="Courier New" w:hint="default"/>
      </w:rPr>
    </w:lvl>
    <w:lvl w:ilvl="8" w:tplc="240A0005" w:tentative="1">
      <w:start w:val="1"/>
      <w:numFmt w:val="bullet"/>
      <w:lvlText w:val=""/>
      <w:lvlJc w:val="left"/>
      <w:pPr>
        <w:ind w:left="7215" w:hanging="360"/>
      </w:pPr>
      <w:rPr>
        <w:rFonts w:ascii="Wingdings" w:hAnsi="Wingdings" w:hint="default"/>
      </w:rPr>
    </w:lvl>
  </w:abstractNum>
  <w:abstractNum w:abstractNumId="7">
    <w:nsid w:val="6D937F93"/>
    <w:multiLevelType w:val="hybridMultilevel"/>
    <w:tmpl w:val="38FA2A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69D"/>
    <w:rsid w:val="0009399B"/>
    <w:rsid w:val="00097B47"/>
    <w:rsid w:val="003847F1"/>
    <w:rsid w:val="004108B3"/>
    <w:rsid w:val="0047769D"/>
    <w:rsid w:val="0052415C"/>
    <w:rsid w:val="005D2D9B"/>
    <w:rsid w:val="006F0E7A"/>
    <w:rsid w:val="008A51C0"/>
    <w:rsid w:val="008E2D68"/>
    <w:rsid w:val="00984428"/>
    <w:rsid w:val="009E126F"/>
    <w:rsid w:val="00A36502"/>
    <w:rsid w:val="00BB5175"/>
    <w:rsid w:val="00BD41A6"/>
    <w:rsid w:val="00BE2C7B"/>
    <w:rsid w:val="00C225C6"/>
    <w:rsid w:val="00CE45D9"/>
    <w:rsid w:val="00D91F3B"/>
    <w:rsid w:val="00ED52AC"/>
    <w:rsid w:val="00EE103D"/>
    <w:rsid w:val="00EF47F0"/>
    <w:rsid w:val="00F632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99"/>
    <w:qFormat/>
    <w:rsid w:val="004108B3"/>
    <w:pPr>
      <w:ind w:left="720"/>
      <w:contextualSpacing/>
    </w:pPr>
  </w:style>
  <w:style w:type="paragraph" w:customStyle="1" w:styleId="Sinespaciado1">
    <w:name w:val="Sin espaciado1"/>
    <w:rsid w:val="005D2D9B"/>
    <w:pPr>
      <w:spacing w:after="0" w:line="240" w:lineRule="auto"/>
    </w:pPr>
    <w:rPr>
      <w:rFonts w:ascii="Calibri" w:eastAsia="Times New Roman" w:hAnsi="Calibri" w:cs="Calibri"/>
      <w:lang w:val="es-ES" w:eastAsia="es-ES"/>
    </w:rPr>
  </w:style>
  <w:style w:type="paragraph" w:styleId="Textodeglobo">
    <w:name w:val="Balloon Text"/>
    <w:basedOn w:val="Normal"/>
    <w:link w:val="TextodegloboCar"/>
    <w:uiPriority w:val="99"/>
    <w:semiHidden/>
    <w:unhideWhenUsed/>
    <w:rsid w:val="005241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2415C"/>
    <w:rPr>
      <w:rFonts w:ascii="Tahoma" w:hAnsi="Tahoma" w:cs="Tahoma"/>
      <w:sz w:val="16"/>
      <w:szCs w:val="16"/>
    </w:rPr>
  </w:style>
  <w:style w:type="paragraph" w:styleId="Textoindependiente">
    <w:name w:val="Body Text"/>
    <w:basedOn w:val="Normal"/>
    <w:link w:val="TextoindependienteCar"/>
    <w:rsid w:val="00F63207"/>
    <w:pPr>
      <w:spacing w:after="0" w:line="240" w:lineRule="auto"/>
    </w:pPr>
    <w:rPr>
      <w:rFonts w:ascii="Arial Narrow" w:eastAsia="Times New Roman" w:hAnsi="Arial Narrow" w:cs="Times New Roman"/>
      <w:b/>
      <w:sz w:val="9"/>
      <w:szCs w:val="24"/>
      <w:lang w:val="es-ES" w:eastAsia="es-ES"/>
    </w:rPr>
  </w:style>
  <w:style w:type="character" w:customStyle="1" w:styleId="TextoindependienteCar">
    <w:name w:val="Texto independiente Car"/>
    <w:basedOn w:val="Fuentedeprrafopredeter"/>
    <w:link w:val="Textoindependiente"/>
    <w:rsid w:val="00F63207"/>
    <w:rPr>
      <w:rFonts w:ascii="Arial Narrow" w:eastAsia="Times New Roman" w:hAnsi="Arial Narrow" w:cs="Times New Roman"/>
      <w:b/>
      <w:sz w:val="9"/>
      <w:szCs w:val="24"/>
      <w:lang w:val="es-ES" w:eastAsia="es-ES"/>
    </w:rPr>
  </w:style>
  <w:style w:type="character" w:customStyle="1" w:styleId="PrrafodelistaCar">
    <w:name w:val="Párrafo de lista Car"/>
    <w:link w:val="Prrafodelista"/>
    <w:uiPriority w:val="99"/>
    <w:locked/>
    <w:rsid w:val="00F632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99"/>
    <w:qFormat/>
    <w:rsid w:val="004108B3"/>
    <w:pPr>
      <w:ind w:left="720"/>
      <w:contextualSpacing/>
    </w:pPr>
  </w:style>
  <w:style w:type="paragraph" w:customStyle="1" w:styleId="Sinespaciado1">
    <w:name w:val="Sin espaciado1"/>
    <w:rsid w:val="005D2D9B"/>
    <w:pPr>
      <w:spacing w:after="0" w:line="240" w:lineRule="auto"/>
    </w:pPr>
    <w:rPr>
      <w:rFonts w:ascii="Calibri" w:eastAsia="Times New Roman" w:hAnsi="Calibri" w:cs="Calibri"/>
      <w:lang w:val="es-ES" w:eastAsia="es-ES"/>
    </w:rPr>
  </w:style>
  <w:style w:type="paragraph" w:styleId="Textodeglobo">
    <w:name w:val="Balloon Text"/>
    <w:basedOn w:val="Normal"/>
    <w:link w:val="TextodegloboCar"/>
    <w:uiPriority w:val="99"/>
    <w:semiHidden/>
    <w:unhideWhenUsed/>
    <w:rsid w:val="0052415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2415C"/>
    <w:rPr>
      <w:rFonts w:ascii="Tahoma" w:hAnsi="Tahoma" w:cs="Tahoma"/>
      <w:sz w:val="16"/>
      <w:szCs w:val="16"/>
    </w:rPr>
  </w:style>
  <w:style w:type="paragraph" w:styleId="Textoindependiente">
    <w:name w:val="Body Text"/>
    <w:basedOn w:val="Normal"/>
    <w:link w:val="TextoindependienteCar"/>
    <w:rsid w:val="00F63207"/>
    <w:pPr>
      <w:spacing w:after="0" w:line="240" w:lineRule="auto"/>
    </w:pPr>
    <w:rPr>
      <w:rFonts w:ascii="Arial Narrow" w:eastAsia="Times New Roman" w:hAnsi="Arial Narrow" w:cs="Times New Roman"/>
      <w:b/>
      <w:sz w:val="9"/>
      <w:szCs w:val="24"/>
      <w:lang w:val="es-ES" w:eastAsia="es-ES"/>
    </w:rPr>
  </w:style>
  <w:style w:type="character" w:customStyle="1" w:styleId="TextoindependienteCar">
    <w:name w:val="Texto independiente Car"/>
    <w:basedOn w:val="Fuentedeprrafopredeter"/>
    <w:link w:val="Textoindependiente"/>
    <w:rsid w:val="00F63207"/>
    <w:rPr>
      <w:rFonts w:ascii="Arial Narrow" w:eastAsia="Times New Roman" w:hAnsi="Arial Narrow" w:cs="Times New Roman"/>
      <w:b/>
      <w:sz w:val="9"/>
      <w:szCs w:val="24"/>
      <w:lang w:val="es-ES" w:eastAsia="es-ES"/>
    </w:rPr>
  </w:style>
  <w:style w:type="character" w:customStyle="1" w:styleId="PrrafodelistaCar">
    <w:name w:val="Párrafo de lista Car"/>
    <w:link w:val="Prrafodelista"/>
    <w:uiPriority w:val="99"/>
    <w:locked/>
    <w:rsid w:val="00F63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21336">
      <w:bodyDiv w:val="1"/>
      <w:marLeft w:val="0"/>
      <w:marRight w:val="0"/>
      <w:marTop w:val="0"/>
      <w:marBottom w:val="0"/>
      <w:divBdr>
        <w:top w:val="none" w:sz="0" w:space="0" w:color="auto"/>
        <w:left w:val="none" w:sz="0" w:space="0" w:color="auto"/>
        <w:bottom w:val="none" w:sz="0" w:space="0" w:color="auto"/>
        <w:right w:val="none" w:sz="0" w:space="0" w:color="auto"/>
      </w:divBdr>
    </w:div>
    <w:div w:id="948777350">
      <w:bodyDiv w:val="1"/>
      <w:marLeft w:val="0"/>
      <w:marRight w:val="0"/>
      <w:marTop w:val="0"/>
      <w:marBottom w:val="0"/>
      <w:divBdr>
        <w:top w:val="none" w:sz="0" w:space="0" w:color="auto"/>
        <w:left w:val="none" w:sz="0" w:space="0" w:color="auto"/>
        <w:bottom w:val="none" w:sz="0" w:space="0" w:color="auto"/>
        <w:right w:val="none" w:sz="0" w:space="0" w:color="auto"/>
      </w:divBdr>
    </w:div>
    <w:div w:id="1167943903">
      <w:bodyDiv w:val="1"/>
      <w:marLeft w:val="0"/>
      <w:marRight w:val="0"/>
      <w:marTop w:val="0"/>
      <w:marBottom w:val="0"/>
      <w:divBdr>
        <w:top w:val="none" w:sz="0" w:space="0" w:color="auto"/>
        <w:left w:val="none" w:sz="0" w:space="0" w:color="auto"/>
        <w:bottom w:val="none" w:sz="0" w:space="0" w:color="auto"/>
        <w:right w:val="none" w:sz="0" w:space="0" w:color="auto"/>
      </w:divBdr>
    </w:div>
    <w:div w:id="1448424371">
      <w:bodyDiv w:val="1"/>
      <w:marLeft w:val="0"/>
      <w:marRight w:val="0"/>
      <w:marTop w:val="0"/>
      <w:marBottom w:val="0"/>
      <w:divBdr>
        <w:top w:val="none" w:sz="0" w:space="0" w:color="auto"/>
        <w:left w:val="none" w:sz="0" w:space="0" w:color="auto"/>
        <w:bottom w:val="none" w:sz="0" w:space="0" w:color="auto"/>
        <w:right w:val="none" w:sz="0" w:space="0" w:color="auto"/>
      </w:divBdr>
    </w:div>
    <w:div w:id="1937403262">
      <w:bodyDiv w:val="1"/>
      <w:marLeft w:val="0"/>
      <w:marRight w:val="0"/>
      <w:marTop w:val="0"/>
      <w:marBottom w:val="0"/>
      <w:divBdr>
        <w:top w:val="none" w:sz="0" w:space="0" w:color="auto"/>
        <w:left w:val="none" w:sz="0" w:space="0" w:color="auto"/>
        <w:bottom w:val="none" w:sz="0" w:space="0" w:color="auto"/>
        <w:right w:val="none" w:sz="0" w:space="0" w:color="auto"/>
      </w:divBdr>
    </w:div>
    <w:div w:id="2045206882">
      <w:bodyDiv w:val="1"/>
      <w:marLeft w:val="0"/>
      <w:marRight w:val="0"/>
      <w:marTop w:val="0"/>
      <w:marBottom w:val="0"/>
      <w:divBdr>
        <w:top w:val="none" w:sz="0" w:space="0" w:color="auto"/>
        <w:left w:val="none" w:sz="0" w:space="0" w:color="auto"/>
        <w:bottom w:val="none" w:sz="0" w:space="0" w:color="auto"/>
        <w:right w:val="none" w:sz="0" w:space="0" w:color="auto"/>
      </w:divBdr>
    </w:div>
    <w:div w:id="2116048655">
      <w:bodyDiv w:val="1"/>
      <w:marLeft w:val="0"/>
      <w:marRight w:val="0"/>
      <w:marTop w:val="0"/>
      <w:marBottom w:val="0"/>
      <w:divBdr>
        <w:top w:val="none" w:sz="0" w:space="0" w:color="auto"/>
        <w:left w:val="none" w:sz="0" w:space="0" w:color="auto"/>
        <w:bottom w:val="none" w:sz="0" w:space="0" w:color="auto"/>
        <w:right w:val="none" w:sz="0" w:space="0" w:color="auto"/>
      </w:divBdr>
    </w:div>
    <w:div w:id="212916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289</Words>
  <Characters>1591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 dv5</dc:creator>
  <cp:lastModifiedBy>Pavilion dv5</cp:lastModifiedBy>
  <cp:revision>10</cp:revision>
  <dcterms:created xsi:type="dcterms:W3CDTF">2017-06-14T20:02:00Z</dcterms:created>
  <dcterms:modified xsi:type="dcterms:W3CDTF">2017-06-14T19:15:00Z</dcterms:modified>
</cp:coreProperties>
</file>